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požadavky </w:t>
      </w:r>
      <w:r w:rsidR="00703075">
        <w:rPr>
          <w:sz w:val="28"/>
          <w:szCs w:val="28"/>
        </w:rPr>
        <w:t xml:space="preserve">pro část 1 </w:t>
      </w:r>
      <w:r w:rsidR="00F26321">
        <w:rPr>
          <w:sz w:val="28"/>
          <w:szCs w:val="28"/>
        </w:rPr>
        <w:t xml:space="preserve">- </w:t>
      </w:r>
      <w:r w:rsidR="00703075">
        <w:rPr>
          <w:sz w:val="28"/>
          <w:szCs w:val="28"/>
        </w:rPr>
        <w:t>Denzitometr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96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2B5BA2">
        <w:trPr>
          <w:trHeight w:val="387"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0B319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 w:rsidRPr="000B3193">
              <w:rPr>
                <w:rFonts w:asciiTheme="minorHAnsi" w:hAnsiTheme="minorHAnsi"/>
                <w:b/>
                <w:sz w:val="24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0B3193" w:rsidRDefault="00D84782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</w:t>
            </w:r>
            <w:r w:rsidR="0035064C">
              <w:rPr>
                <w:rFonts w:asciiTheme="minorHAnsi" w:hAnsiTheme="minorHAnsi"/>
                <w:b/>
                <w:sz w:val="22"/>
                <w:szCs w:val="22"/>
              </w:rPr>
              <w:t xml:space="preserve"> ks </w:t>
            </w:r>
            <w:r w:rsidR="00804924">
              <w:rPr>
                <w:rFonts w:asciiTheme="minorHAnsi" w:hAnsiTheme="minorHAnsi"/>
                <w:b/>
                <w:sz w:val="22"/>
                <w:szCs w:val="22"/>
              </w:rPr>
              <w:t>Denzitometr</w:t>
            </w:r>
          </w:p>
        </w:tc>
      </w:tr>
      <w:tr w:rsidR="00654188" w:rsidRPr="00654188" w:rsidTr="002B5BA2"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2B5BA2" w:rsidRPr="002B5BA2" w:rsidTr="004C129B">
        <w:tc>
          <w:tcPr>
            <w:tcW w:w="4536" w:type="dxa"/>
          </w:tcPr>
          <w:p w:rsidR="002B5BA2" w:rsidRPr="002B5BA2" w:rsidRDefault="002B5BA2" w:rsidP="002B5BA2">
            <w:pPr>
              <w:rPr>
                <w:rFonts w:cs="Calibri"/>
                <w:bCs/>
                <w:snapToGrid w:val="0"/>
                <w:color w:val="000000"/>
              </w:rPr>
            </w:pPr>
            <w:r w:rsidRPr="002B5BA2">
              <w:rPr>
                <w:rFonts w:cs="Calibri"/>
                <w:bCs/>
                <w:snapToGrid w:val="0"/>
                <w:color w:val="000000"/>
              </w:rPr>
              <w:t xml:space="preserve">Předmětem dodávky je 1 ks </w:t>
            </w:r>
            <w:proofErr w:type="spellStart"/>
            <w:r w:rsidRPr="002B5BA2">
              <w:rPr>
                <w:rFonts w:cs="Calibri"/>
                <w:bCs/>
                <w:snapToGrid w:val="0"/>
                <w:color w:val="000000"/>
              </w:rPr>
              <w:t>dvoufotonového</w:t>
            </w:r>
            <w:proofErr w:type="spellEnd"/>
            <w:r w:rsidRPr="002B5BA2">
              <w:rPr>
                <w:rFonts w:cs="Calibri"/>
                <w:bCs/>
                <w:snapToGrid w:val="0"/>
                <w:color w:val="000000"/>
              </w:rPr>
              <w:t xml:space="preserve"> kostního denzitometru do stávající vyšetřovny na Oddělení radiologie a zobrazovacích metod.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E4427D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49"/>
              </w:numPr>
              <w:ind w:hanging="357"/>
              <w:rPr>
                <w:rFonts w:cs="Calibri"/>
                <w:snapToGrid w:val="0"/>
                <w:color w:val="000000"/>
              </w:rPr>
            </w:pPr>
            <w:r w:rsidRPr="002B5BA2">
              <w:rPr>
                <w:rFonts w:cs="Calibri"/>
                <w:snapToGrid w:val="0"/>
                <w:color w:val="000000"/>
              </w:rPr>
              <w:t xml:space="preserve">DXA technologie 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E4427D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49"/>
              </w:numPr>
              <w:ind w:hanging="357"/>
            </w:pPr>
            <w:r w:rsidRPr="002B5BA2">
              <w:rPr>
                <w:rFonts w:cs="Calibri"/>
                <w:snapToGrid w:val="0"/>
                <w:color w:val="000000"/>
              </w:rPr>
              <w:t>Metoda snímání vějířovým paprskem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E4427D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49"/>
              </w:numPr>
              <w:ind w:hanging="357"/>
            </w:pPr>
            <w:r w:rsidRPr="002B5BA2">
              <w:rPr>
                <w:rFonts w:cs="Calibri"/>
                <w:snapToGrid w:val="0"/>
                <w:color w:val="000000"/>
              </w:rPr>
              <w:t>Denní kontrola kvality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E4427D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49"/>
              </w:numPr>
              <w:ind w:hanging="357"/>
            </w:pPr>
            <w:r w:rsidRPr="002B5BA2">
              <w:rPr>
                <w:rFonts w:cs="Calibri"/>
                <w:snapToGrid w:val="0"/>
                <w:color w:val="000000"/>
              </w:rPr>
              <w:t xml:space="preserve">Stanovení T – </w:t>
            </w:r>
            <w:proofErr w:type="spellStart"/>
            <w:r w:rsidRPr="002B5BA2">
              <w:rPr>
                <w:rFonts w:cs="Calibri"/>
                <w:snapToGrid w:val="0"/>
                <w:color w:val="000000"/>
              </w:rPr>
              <w:t>score</w:t>
            </w:r>
            <w:proofErr w:type="spellEnd"/>
            <w:r w:rsidRPr="002B5BA2">
              <w:rPr>
                <w:rFonts w:cs="Calibri"/>
                <w:snapToGrid w:val="0"/>
                <w:color w:val="000000"/>
              </w:rPr>
              <w:t xml:space="preserve">, Z – </w:t>
            </w:r>
            <w:proofErr w:type="spellStart"/>
            <w:r w:rsidRPr="002B5BA2">
              <w:rPr>
                <w:rFonts w:cs="Calibri"/>
                <w:snapToGrid w:val="0"/>
                <w:color w:val="000000"/>
              </w:rPr>
              <w:t>score</w:t>
            </w:r>
            <w:proofErr w:type="spellEnd"/>
            <w:r w:rsidRPr="002B5BA2">
              <w:rPr>
                <w:rFonts w:cs="Calibri"/>
                <w:snapToGrid w:val="0"/>
                <w:color w:val="000000"/>
              </w:rPr>
              <w:t>, BMC, BMD a plochy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E4427D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49"/>
              </w:numPr>
              <w:ind w:hanging="357"/>
            </w:pPr>
            <w:r w:rsidRPr="002B5BA2">
              <w:rPr>
                <w:rFonts w:cs="Calibri"/>
                <w:snapToGrid w:val="0"/>
                <w:color w:val="000000"/>
              </w:rPr>
              <w:t>Srovnávací databáze vč. NHANES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E4427D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49"/>
              </w:numPr>
              <w:ind w:hanging="357"/>
            </w:pPr>
            <w:r w:rsidRPr="002B5BA2">
              <w:rPr>
                <w:rFonts w:cs="Calibri"/>
                <w:snapToGrid w:val="0"/>
                <w:color w:val="000000"/>
              </w:rPr>
              <w:t>Automatická analýza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E4427D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49"/>
              </w:numPr>
              <w:ind w:hanging="357"/>
            </w:pPr>
            <w:r w:rsidRPr="002B5BA2">
              <w:rPr>
                <w:rFonts w:cs="Calibri"/>
                <w:snapToGrid w:val="0"/>
                <w:color w:val="000000"/>
              </w:rPr>
              <w:t>Automatické měření délky kyčle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E4427D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49"/>
              </w:numPr>
              <w:ind w:hanging="357"/>
            </w:pPr>
            <w:r w:rsidRPr="002B5BA2">
              <w:rPr>
                <w:rFonts w:cs="Calibri"/>
                <w:snapToGrid w:val="0"/>
                <w:color w:val="000000"/>
              </w:rPr>
              <w:t>Plná návaznost na naměřené hodnoty a data pacientů ze stávající databáze pro zachování kontinuity jednotlivých případů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7B3DDD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49"/>
              </w:numPr>
              <w:ind w:hanging="357"/>
            </w:pPr>
            <w:bookmarkStart w:id="0" w:name="_Hlk525517"/>
            <w:r w:rsidRPr="002B5BA2">
              <w:rPr>
                <w:rFonts w:cs="Calibri"/>
                <w:snapToGrid w:val="0"/>
                <w:color w:val="000000"/>
              </w:rPr>
              <w:t>Možnost ukládání dat lokálně i do PACS</w:t>
            </w:r>
            <w:r w:rsidR="00AE646A">
              <w:rPr>
                <w:rFonts w:cs="Calibri"/>
                <w:snapToGrid w:val="0"/>
                <w:color w:val="000000"/>
              </w:rPr>
              <w:t>.</w:t>
            </w:r>
            <w:r w:rsidRPr="002B5BA2">
              <w:rPr>
                <w:rFonts w:cs="Calibri"/>
                <w:snapToGrid w:val="0"/>
                <w:color w:val="000000"/>
              </w:rPr>
              <w:t xml:space="preserve"> </w:t>
            </w:r>
            <w:r w:rsidR="00AE646A" w:rsidRPr="004C19C2">
              <w:rPr>
                <w:rFonts w:cs="Calibri"/>
                <w:bCs/>
              </w:rPr>
              <w:t>Součástí dodávky kompletní DICOM komunikace přístroje s nemocničním PACS systémem.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bookmarkEnd w:id="0"/>
      <w:tr w:rsidR="002B5BA2" w:rsidRPr="002B5BA2" w:rsidTr="007B3DDD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49"/>
              </w:numPr>
              <w:ind w:hanging="357"/>
            </w:pPr>
            <w:r w:rsidRPr="002B5BA2">
              <w:rPr>
                <w:rFonts w:cs="Calibri"/>
                <w:snapToGrid w:val="0"/>
              </w:rPr>
              <w:t>Maximální hmotnost měřeného pacienta min. 150 kg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7B3DDD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49"/>
              </w:numPr>
              <w:ind w:hanging="357"/>
            </w:pPr>
            <w:r w:rsidRPr="002B5BA2">
              <w:rPr>
                <w:rFonts w:cs="Calibri"/>
              </w:rPr>
              <w:t xml:space="preserve">Ovládací a vyhodnocovací stanice včetně ovládacího software, </w:t>
            </w:r>
            <w:r w:rsidRPr="002B5BA2">
              <w:rPr>
                <w:rFonts w:cs="Calibri"/>
                <w:snapToGrid w:val="0"/>
                <w:color w:val="000000"/>
              </w:rPr>
              <w:t>LCD monitor, klávesnice, myš, laserová barevná tiskárna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7B3DDD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49"/>
              </w:numPr>
              <w:ind w:hanging="357"/>
            </w:pPr>
            <w:r w:rsidRPr="002B5BA2">
              <w:t>Vybavení softwarovými aplikacemi: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7B3DDD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50"/>
              </w:numPr>
              <w:ind w:hanging="357"/>
            </w:pPr>
            <w:r w:rsidRPr="002B5BA2">
              <w:t>Měření bederní páteře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295C47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50"/>
              </w:numPr>
              <w:ind w:hanging="357"/>
            </w:pPr>
            <w:r w:rsidRPr="002B5BA2">
              <w:t>Měření proximálního femuru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295C47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50"/>
              </w:numPr>
              <w:ind w:hanging="357"/>
            </w:pPr>
            <w:r w:rsidRPr="002B5BA2">
              <w:lastRenderedPageBreak/>
              <w:t>Měření obou proximálních femurů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C557AE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50"/>
              </w:numPr>
              <w:ind w:hanging="357"/>
            </w:pPr>
            <w:r w:rsidRPr="002B5BA2">
              <w:t>Předloktí pro ležícího a sedícího pacienta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C557AE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50"/>
              </w:numPr>
              <w:ind w:hanging="357"/>
            </w:pPr>
            <w:r w:rsidRPr="002B5BA2">
              <w:t xml:space="preserve">Vyšetření pediatrických pacientů pro kyčel, bederní páteř a celé tělo 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C557AE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50"/>
              </w:numPr>
              <w:ind w:hanging="357"/>
            </w:pPr>
            <w:r w:rsidRPr="002B5BA2">
              <w:rPr>
                <w:rFonts w:cs="Calibri"/>
                <w:snapToGrid w:val="0"/>
                <w:color w:val="000000"/>
              </w:rPr>
              <w:t>Celotělová denzitometrie (BMD + skladba těla)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C557AE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50"/>
              </w:numPr>
              <w:ind w:hanging="357"/>
            </w:pPr>
            <w:r w:rsidRPr="002B5BA2">
              <w:rPr>
                <w:rFonts w:cs="Calibri"/>
                <w:snapToGrid w:val="0"/>
                <w:color w:val="000000"/>
              </w:rPr>
              <w:t>Morfometrie páteře, boční snímek v rozsahu L4 – T4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C557AE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50"/>
              </w:numPr>
              <w:ind w:hanging="357"/>
            </w:pPr>
            <w:r w:rsidRPr="002B5BA2">
              <w:t>FRAX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C557AE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50"/>
              </w:numPr>
              <w:ind w:hanging="357"/>
            </w:pPr>
            <w:r w:rsidRPr="002B5BA2">
              <w:t xml:space="preserve">DICOM </w:t>
            </w:r>
            <w:r w:rsidRPr="002B5BA2">
              <w:rPr>
                <w:rFonts w:cs="Calibri"/>
                <w:snapToGrid w:val="0"/>
                <w:color w:val="000000"/>
              </w:rPr>
              <w:t>(</w:t>
            </w:r>
            <w:proofErr w:type="spellStart"/>
            <w:r w:rsidRPr="002B5BA2">
              <w:rPr>
                <w:rFonts w:cs="Calibri"/>
                <w:snapToGrid w:val="0"/>
                <w:color w:val="000000"/>
              </w:rPr>
              <w:t>Worklist</w:t>
            </w:r>
            <w:proofErr w:type="spellEnd"/>
            <w:r w:rsidRPr="002B5BA2">
              <w:rPr>
                <w:rFonts w:cs="Calibri"/>
                <w:snapToGrid w:val="0"/>
                <w:color w:val="000000"/>
              </w:rPr>
              <w:t xml:space="preserve">, </w:t>
            </w:r>
            <w:proofErr w:type="spellStart"/>
            <w:r w:rsidRPr="002B5BA2">
              <w:rPr>
                <w:rFonts w:cs="Calibri"/>
                <w:snapToGrid w:val="0"/>
                <w:color w:val="000000"/>
              </w:rPr>
              <w:t>Print</w:t>
            </w:r>
            <w:proofErr w:type="spellEnd"/>
            <w:r w:rsidRPr="002B5BA2">
              <w:rPr>
                <w:rFonts w:cs="Calibri"/>
                <w:snapToGrid w:val="0"/>
                <w:color w:val="000000"/>
              </w:rPr>
              <w:t xml:space="preserve">, </w:t>
            </w:r>
            <w:proofErr w:type="spellStart"/>
            <w:r w:rsidRPr="002B5BA2">
              <w:rPr>
                <w:rFonts w:cs="Calibri"/>
                <w:snapToGrid w:val="0"/>
                <w:color w:val="000000"/>
              </w:rPr>
              <w:t>Store</w:t>
            </w:r>
            <w:proofErr w:type="spellEnd"/>
            <w:r w:rsidRPr="002B5BA2">
              <w:rPr>
                <w:rFonts w:cs="Calibri"/>
                <w:snapToGrid w:val="0"/>
                <w:color w:val="000000"/>
              </w:rPr>
              <w:t>)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C557AE">
        <w:tc>
          <w:tcPr>
            <w:tcW w:w="4536" w:type="dxa"/>
          </w:tcPr>
          <w:p w:rsidR="002B5BA2" w:rsidRPr="002B5BA2" w:rsidRDefault="002B5BA2" w:rsidP="002B5BA2">
            <w:pPr>
              <w:pStyle w:val="Odstavecseseznamem1"/>
              <w:numPr>
                <w:ilvl w:val="0"/>
                <w:numId w:val="50"/>
              </w:numPr>
              <w:ind w:hanging="357"/>
            </w:pPr>
            <w:r w:rsidRPr="002B5BA2">
              <w:rPr>
                <w:rFonts w:cs="Calibri"/>
                <w:snapToGrid w:val="0"/>
                <w:color w:val="000000"/>
              </w:rPr>
              <w:t xml:space="preserve">TBS – </w:t>
            </w:r>
            <w:proofErr w:type="spellStart"/>
            <w:r w:rsidRPr="002B5BA2">
              <w:rPr>
                <w:rFonts w:cs="Calibri"/>
                <w:snapToGrid w:val="0"/>
                <w:color w:val="000000"/>
              </w:rPr>
              <w:t>Trabecular</w:t>
            </w:r>
            <w:proofErr w:type="spellEnd"/>
            <w:r w:rsidRPr="002B5BA2">
              <w:rPr>
                <w:rFonts w:cs="Calibri"/>
                <w:snapToGrid w:val="0"/>
                <w:color w:val="000000"/>
              </w:rPr>
              <w:t xml:space="preserve"> Bone </w:t>
            </w:r>
            <w:proofErr w:type="spellStart"/>
            <w:r w:rsidRPr="002B5BA2">
              <w:rPr>
                <w:rFonts w:cs="Calibri"/>
                <w:snapToGrid w:val="0"/>
                <w:color w:val="000000"/>
              </w:rPr>
              <w:t>Score</w:t>
            </w:r>
            <w:proofErr w:type="spellEnd"/>
            <w:r w:rsidRPr="002B5BA2">
              <w:rPr>
                <w:rFonts w:cs="Calibri"/>
                <w:snapToGrid w:val="0"/>
                <w:color w:val="000000"/>
              </w:rPr>
              <w:t xml:space="preserve"> – software pro zjišťování stavu </w:t>
            </w:r>
            <w:proofErr w:type="spellStart"/>
            <w:r w:rsidRPr="002B5BA2">
              <w:rPr>
                <w:rFonts w:cs="Calibri"/>
                <w:snapToGrid w:val="0"/>
                <w:color w:val="000000"/>
              </w:rPr>
              <w:t>mikroarchitektury</w:t>
            </w:r>
            <w:proofErr w:type="spellEnd"/>
            <w:r w:rsidRPr="002B5BA2">
              <w:rPr>
                <w:rFonts w:cs="Calibri"/>
                <w:snapToGrid w:val="0"/>
                <w:color w:val="000000"/>
              </w:rPr>
              <w:t xml:space="preserve"> kostní hmoty s možností zpětné analýzy databáze se stávajícího přístroje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C557AE">
        <w:tc>
          <w:tcPr>
            <w:tcW w:w="4536" w:type="dxa"/>
          </w:tcPr>
          <w:p w:rsidR="002B5BA2" w:rsidRPr="002B5BA2" w:rsidRDefault="002B5BA2" w:rsidP="002B5BA2">
            <w:pPr>
              <w:rPr>
                <w:b/>
                <w:bCs/>
                <w:sz w:val="28"/>
                <w:szCs w:val="28"/>
              </w:rPr>
            </w:pPr>
            <w:r w:rsidRPr="002B5BA2">
              <w:rPr>
                <w:b/>
                <w:bCs/>
                <w:sz w:val="28"/>
                <w:szCs w:val="28"/>
              </w:rPr>
              <w:t>Další požadavky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C557AE">
        <w:tc>
          <w:tcPr>
            <w:tcW w:w="4536" w:type="dxa"/>
          </w:tcPr>
          <w:p w:rsidR="002B5BA2" w:rsidRPr="002B5BA2" w:rsidRDefault="002B5BA2" w:rsidP="002B5BA2">
            <w:pPr>
              <w:pStyle w:val="Odstavecseseznamem"/>
              <w:numPr>
                <w:ilvl w:val="0"/>
                <w:numId w:val="50"/>
              </w:numPr>
              <w:spacing w:after="200" w:line="276" w:lineRule="auto"/>
              <w:contextualSpacing w:val="0"/>
              <w:rPr>
                <w:rFonts w:ascii="Tahoma" w:hAnsi="Tahoma" w:cs="Tahoma"/>
                <w:color w:val="000000"/>
                <w:sz w:val="19"/>
                <w:szCs w:val="19"/>
                <w:shd w:val="clear" w:color="auto" w:fill="FFFFFF"/>
              </w:rPr>
            </w:pPr>
            <w:r w:rsidRPr="002B5BA2">
              <w:rPr>
                <w:rFonts w:ascii="Tahoma" w:hAnsi="Tahoma" w:cs="Tahoma"/>
                <w:color w:val="000000"/>
                <w:sz w:val="19"/>
                <w:szCs w:val="19"/>
                <w:shd w:val="clear" w:color="auto" w:fill="FFFFFF"/>
              </w:rPr>
              <w:t>Prohlášení o shodě, registrace prodejce a servisu na SÚKL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C557AE">
        <w:tc>
          <w:tcPr>
            <w:tcW w:w="4536" w:type="dxa"/>
          </w:tcPr>
          <w:p w:rsidR="002B5BA2" w:rsidRPr="002B5BA2" w:rsidRDefault="002B5BA2" w:rsidP="002B5BA2">
            <w:pPr>
              <w:pStyle w:val="Odstavecseseznamem"/>
              <w:numPr>
                <w:ilvl w:val="0"/>
                <w:numId w:val="50"/>
              </w:numPr>
              <w:spacing w:after="200" w:line="276" w:lineRule="auto"/>
              <w:contextualSpacing w:val="0"/>
              <w:rPr>
                <w:rFonts w:ascii="Tahoma" w:hAnsi="Tahoma" w:cs="Tahoma"/>
                <w:color w:val="000000"/>
                <w:sz w:val="19"/>
                <w:szCs w:val="19"/>
                <w:shd w:val="clear" w:color="auto" w:fill="FFFFFF"/>
              </w:rPr>
            </w:pPr>
            <w:r w:rsidRPr="002B5BA2">
              <w:rPr>
                <w:rFonts w:ascii="Tahoma" w:hAnsi="Tahoma" w:cs="Tahoma"/>
                <w:color w:val="000000"/>
                <w:sz w:val="19"/>
                <w:szCs w:val="19"/>
                <w:shd w:val="clear" w:color="auto" w:fill="FFFFFF"/>
              </w:rPr>
              <w:t>Povolení SÚJB k prodeji a servisu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C557AE">
        <w:tc>
          <w:tcPr>
            <w:tcW w:w="4536" w:type="dxa"/>
          </w:tcPr>
          <w:p w:rsidR="002B5BA2" w:rsidRPr="002B5BA2" w:rsidRDefault="002B5BA2" w:rsidP="002B5BA2">
            <w:pPr>
              <w:pStyle w:val="Odstavecseseznamem"/>
              <w:numPr>
                <w:ilvl w:val="0"/>
                <w:numId w:val="50"/>
              </w:numPr>
              <w:spacing w:after="200" w:line="276" w:lineRule="auto"/>
              <w:contextualSpacing w:val="0"/>
              <w:rPr>
                <w:rFonts w:ascii="Tahoma" w:hAnsi="Tahoma" w:cs="Tahoma"/>
                <w:color w:val="000000"/>
                <w:sz w:val="19"/>
                <w:szCs w:val="19"/>
                <w:shd w:val="clear" w:color="auto" w:fill="FFFFFF"/>
              </w:rPr>
            </w:pPr>
            <w:r w:rsidRPr="002B5BA2">
              <w:rPr>
                <w:rFonts w:ascii="Tahoma" w:hAnsi="Tahoma" w:cs="Tahoma"/>
                <w:color w:val="000000"/>
                <w:sz w:val="19"/>
                <w:szCs w:val="19"/>
                <w:shd w:val="clear" w:color="auto" w:fill="FFFFFF"/>
              </w:rPr>
              <w:t>Návod v češtině, zaškolení personálu</w:t>
            </w:r>
            <w:r w:rsidR="00B22DF5">
              <w:rPr>
                <w:rFonts w:ascii="Tahoma" w:hAnsi="Tahoma" w:cs="Tahoma"/>
                <w:color w:val="000000"/>
                <w:sz w:val="19"/>
                <w:szCs w:val="19"/>
                <w:shd w:val="clear" w:color="auto" w:fill="FFFFFF"/>
              </w:rPr>
              <w:t xml:space="preserve">, </w:t>
            </w:r>
            <w:r w:rsidR="00B22DF5" w:rsidRPr="00654BE0">
              <w:rPr>
                <w:rFonts w:ascii="Calibri" w:hAnsi="Calibri" w:cs="Calibri"/>
                <w:sz w:val="22"/>
                <w:szCs w:val="22"/>
                <w:u w:color="000000"/>
              </w:rPr>
              <w:t>Pro v</w:t>
            </w:r>
            <w:r w:rsidR="00B22DF5">
              <w:rPr>
                <w:rFonts w:ascii="Calibri" w:hAnsi="Calibri" w:cs="Calibri"/>
                <w:sz w:val="22"/>
                <w:szCs w:val="22"/>
                <w:u w:color="000000"/>
              </w:rPr>
              <w:t>eškerý</w:t>
            </w:r>
            <w:r w:rsidR="00B22DF5" w:rsidRPr="00654BE0">
              <w:rPr>
                <w:rFonts w:ascii="Calibri" w:hAnsi="Calibri" w:cs="Calibri"/>
                <w:sz w:val="22"/>
                <w:szCs w:val="22"/>
                <w:u w:color="000000"/>
              </w:rPr>
              <w:t xml:space="preserve"> dodávaný software musí být licence správně uvedena na faktuře, pro prokázání správného nabytí licence.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B5BA2" w:rsidRPr="002B5BA2" w:rsidTr="00C557AE">
        <w:tc>
          <w:tcPr>
            <w:tcW w:w="4536" w:type="dxa"/>
          </w:tcPr>
          <w:p w:rsidR="002B5BA2" w:rsidRPr="002B5BA2" w:rsidRDefault="002B5BA2" w:rsidP="002B5BA2">
            <w:pPr>
              <w:pStyle w:val="Odstavecseseznamem"/>
              <w:numPr>
                <w:ilvl w:val="0"/>
                <w:numId w:val="50"/>
              </w:num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B5BA2">
              <w:rPr>
                <w:rFonts w:ascii="Tahoma" w:hAnsi="Tahoma" w:cs="Tahoma"/>
                <w:color w:val="000000"/>
                <w:sz w:val="19"/>
                <w:szCs w:val="19"/>
                <w:shd w:val="clear" w:color="auto" w:fill="FFFFFF"/>
              </w:rPr>
              <w:t>Pomůcky pro kalibraci (kalibrační fantom) a denní kontrolu provozní stálosti</w:t>
            </w:r>
          </w:p>
        </w:tc>
        <w:tc>
          <w:tcPr>
            <w:tcW w:w="1276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B5BA2" w:rsidRPr="000645CC" w:rsidRDefault="002B5BA2" w:rsidP="002B5BA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B5BA2" w:rsidRPr="002B5BA2" w:rsidRDefault="002B5BA2" w:rsidP="002B5BA2">
      <w:pPr>
        <w:spacing w:after="160" w:line="256" w:lineRule="auto"/>
        <w:rPr>
          <w:rFonts w:ascii="Calibri" w:hAnsi="Calibri" w:cs="Calibri"/>
          <w:sz w:val="22"/>
          <w:szCs w:val="22"/>
        </w:rPr>
      </w:pPr>
    </w:p>
    <w:sectPr w:rsidR="002B5BA2" w:rsidRPr="002B5BA2" w:rsidSect="00C457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145" w:rsidRDefault="00227145">
      <w:r>
        <w:separator/>
      </w:r>
    </w:p>
  </w:endnote>
  <w:endnote w:type="continuationSeparator" w:id="0">
    <w:p w:rsidR="00227145" w:rsidRDefault="00227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76F" w:rsidRDefault="00C457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</w:rPr>
      <w:id w:val="2063675737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p w:rsidR="00C4576F" w:rsidRPr="00C4576F" w:rsidRDefault="00C4576F" w:rsidP="00C4576F">
        <w:pPr>
          <w:pStyle w:val="Zpat"/>
          <w:tabs>
            <w:tab w:val="left" w:pos="6330"/>
            <w:tab w:val="right" w:pos="9864"/>
          </w:tabs>
          <w:rPr>
            <w:rFonts w:asciiTheme="minorHAnsi" w:hAnsiTheme="minorHAnsi"/>
            <w:szCs w:val="20"/>
          </w:rPr>
        </w:pPr>
        <w:r w:rsidRPr="00C4576F">
          <w:rPr>
            <w:rFonts w:asciiTheme="minorHAnsi" w:hAnsiTheme="minorHAnsi"/>
            <w:szCs w:val="20"/>
          </w:rPr>
          <w:t xml:space="preserve">Název projektu: „Zobrazovací techniky RDG přístroje“, </w:t>
        </w:r>
      </w:p>
      <w:p w:rsidR="00C4576F" w:rsidRPr="00C4576F" w:rsidRDefault="00C4576F" w:rsidP="00C4576F">
        <w:pPr>
          <w:pStyle w:val="Zpat"/>
          <w:tabs>
            <w:tab w:val="left" w:pos="6330"/>
            <w:tab w:val="right" w:pos="9864"/>
          </w:tabs>
          <w:rPr>
            <w:rFonts w:asciiTheme="minorHAnsi" w:hAnsiTheme="minorHAnsi"/>
            <w:szCs w:val="20"/>
          </w:rPr>
        </w:pPr>
        <w:proofErr w:type="spellStart"/>
        <w:r w:rsidRPr="00C4576F">
          <w:rPr>
            <w:rFonts w:asciiTheme="minorHAnsi" w:hAnsiTheme="minorHAnsi"/>
            <w:szCs w:val="20"/>
          </w:rPr>
          <w:t>reg</w:t>
        </w:r>
        <w:proofErr w:type="spellEnd"/>
        <w:r w:rsidRPr="00C4576F">
          <w:rPr>
            <w:rFonts w:asciiTheme="minorHAnsi" w:hAnsiTheme="minorHAnsi"/>
            <w:szCs w:val="20"/>
          </w:rPr>
          <w:t xml:space="preserve">. č. CZ.06.2.56/0.0/0.0/16_043/0001542                                                                              </w:t>
        </w:r>
      </w:p>
      <w:p w:rsidR="00C4576F" w:rsidRDefault="00C4576F" w:rsidP="00C4576F">
        <w:pPr>
          <w:pStyle w:val="Zpat"/>
        </w:pPr>
        <w:r w:rsidRPr="00C4576F">
          <w:rPr>
            <w:rFonts w:asciiTheme="minorHAnsi" w:hAnsiTheme="minorHAnsi"/>
            <w:b/>
            <w:szCs w:val="20"/>
          </w:rPr>
          <w:t>Tento projekt je spolufinancován Evropskou unií z Evropského fondu pro regionální rozvoj.</w:t>
        </w:r>
        <w:r>
          <w:rPr>
            <w:b/>
            <w:szCs w:val="20"/>
          </w:rPr>
          <w:t xml:space="preserve">                             </w:t>
        </w:r>
        <w:bookmarkStart w:id="1" w:name="_GoBack"/>
        <w:bookmarkEnd w:id="1"/>
        <w:r>
          <w:rPr>
            <w:b/>
            <w:szCs w:val="20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84782" w:rsidRPr="00855DB3" w:rsidRDefault="00D84782" w:rsidP="00D43214">
    <w:pPr>
      <w:pStyle w:val="Zpa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76F" w:rsidRDefault="00C457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145" w:rsidRDefault="00227145">
      <w:r>
        <w:separator/>
      </w:r>
    </w:p>
  </w:footnote>
  <w:footnote w:type="continuationSeparator" w:id="0">
    <w:p w:rsidR="00227145" w:rsidRDefault="00227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76F" w:rsidRDefault="00C457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782" w:rsidRDefault="00C4576F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-55880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641D56A">
          <wp:simplePos x="0" y="0"/>
          <wp:positionH relativeFrom="column">
            <wp:posOffset>-256540</wp:posOffset>
          </wp:positionH>
          <wp:positionV relativeFrom="paragraph">
            <wp:posOffset>-136525</wp:posOffset>
          </wp:positionV>
          <wp:extent cx="4197600" cy="763200"/>
          <wp:effectExtent l="0" t="0" r="0" b="0"/>
          <wp:wrapNone/>
          <wp:docPr id="2" name="Obrázek 2" descr="P:\Dokumenty\2017\VZ IROP Vybyvení onkologie VZ 36\2 Relevantní podklady\Publicita\Logo IROP a MMR v JPG\IROP_CZ_RO_B_C 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P:\Dokumenty\2017\VZ IROP Vybyvení onkologie VZ 36\2 Relevantní podklady\Publicita\Logo IROP a MMR v JPG\IROP_CZ_RO_B_C 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76F" w:rsidRDefault="00C457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3631A"/>
    <w:multiLevelType w:val="hybridMultilevel"/>
    <w:tmpl w:val="08F03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E1E7B"/>
    <w:multiLevelType w:val="hybridMultilevel"/>
    <w:tmpl w:val="2B1C1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6E0791"/>
    <w:multiLevelType w:val="hybridMultilevel"/>
    <w:tmpl w:val="62581F92"/>
    <w:lvl w:ilvl="0" w:tplc="040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3" w15:restartNumberingAfterBreak="0">
    <w:nsid w:val="23082845"/>
    <w:multiLevelType w:val="hybridMultilevel"/>
    <w:tmpl w:val="BC98A21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7842064"/>
    <w:multiLevelType w:val="hybridMultilevel"/>
    <w:tmpl w:val="85405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E168F4"/>
    <w:multiLevelType w:val="hybridMultilevel"/>
    <w:tmpl w:val="47E477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533C6"/>
    <w:multiLevelType w:val="hybridMultilevel"/>
    <w:tmpl w:val="E9064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3130A"/>
    <w:multiLevelType w:val="hybridMultilevel"/>
    <w:tmpl w:val="15C6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20C2"/>
    <w:multiLevelType w:val="hybridMultilevel"/>
    <w:tmpl w:val="E3ACE6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73B55C0"/>
    <w:multiLevelType w:val="hybridMultilevel"/>
    <w:tmpl w:val="745C51E4"/>
    <w:lvl w:ilvl="0" w:tplc="367A717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4F5191"/>
    <w:multiLevelType w:val="hybridMultilevel"/>
    <w:tmpl w:val="D03AE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BD2F51"/>
    <w:multiLevelType w:val="hybridMultilevel"/>
    <w:tmpl w:val="48204698"/>
    <w:lvl w:ilvl="0" w:tplc="A45A94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D6A01"/>
    <w:multiLevelType w:val="hybridMultilevel"/>
    <w:tmpl w:val="6F1CF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65193784"/>
    <w:multiLevelType w:val="hybridMultilevel"/>
    <w:tmpl w:val="F1DC2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370685"/>
    <w:multiLevelType w:val="hybridMultilevel"/>
    <w:tmpl w:val="0A48C836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0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703A2D60"/>
    <w:multiLevelType w:val="hybridMultilevel"/>
    <w:tmpl w:val="E9089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E6658D"/>
    <w:multiLevelType w:val="hybridMultilevel"/>
    <w:tmpl w:val="97507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78581923"/>
    <w:multiLevelType w:val="hybridMultilevel"/>
    <w:tmpl w:val="2B0A62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C96449"/>
    <w:multiLevelType w:val="hybridMultilevel"/>
    <w:tmpl w:val="7AD6E5D2"/>
    <w:lvl w:ilvl="0" w:tplc="EBE098CE">
      <w:start w:val="19"/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C2EAF"/>
    <w:multiLevelType w:val="hybridMultilevel"/>
    <w:tmpl w:val="6EE85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2D7851"/>
    <w:multiLevelType w:val="hybridMultilevel"/>
    <w:tmpl w:val="85860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0"/>
  </w:num>
  <w:num w:numId="3">
    <w:abstractNumId w:val="47"/>
  </w:num>
  <w:num w:numId="4">
    <w:abstractNumId w:val="24"/>
  </w:num>
  <w:num w:numId="5">
    <w:abstractNumId w:val="19"/>
  </w:num>
  <w:num w:numId="6">
    <w:abstractNumId w:val="28"/>
  </w:num>
  <w:num w:numId="7">
    <w:abstractNumId w:val="28"/>
  </w:num>
  <w:num w:numId="8">
    <w:abstractNumId w:val="44"/>
  </w:num>
  <w:num w:numId="9">
    <w:abstractNumId w:val="8"/>
  </w:num>
  <w:num w:numId="10">
    <w:abstractNumId w:val="29"/>
  </w:num>
  <w:num w:numId="11">
    <w:abstractNumId w:val="42"/>
  </w:num>
  <w:num w:numId="12">
    <w:abstractNumId w:val="36"/>
  </w:num>
  <w:num w:numId="13">
    <w:abstractNumId w:val="45"/>
  </w:num>
  <w:num w:numId="14">
    <w:abstractNumId w:val="0"/>
  </w:num>
  <w:num w:numId="15">
    <w:abstractNumId w:val="23"/>
  </w:num>
  <w:num w:numId="16">
    <w:abstractNumId w:val="32"/>
  </w:num>
  <w:num w:numId="17">
    <w:abstractNumId w:val="30"/>
  </w:num>
  <w:num w:numId="18">
    <w:abstractNumId w:val="33"/>
  </w:num>
  <w:num w:numId="19">
    <w:abstractNumId w:val="6"/>
  </w:num>
  <w:num w:numId="20">
    <w:abstractNumId w:val="11"/>
  </w:num>
  <w:num w:numId="21">
    <w:abstractNumId w:val="9"/>
  </w:num>
  <w:num w:numId="22">
    <w:abstractNumId w:val="43"/>
  </w:num>
  <w:num w:numId="23">
    <w:abstractNumId w:val="4"/>
  </w:num>
  <w:num w:numId="24">
    <w:abstractNumId w:val="34"/>
  </w:num>
  <w:num w:numId="25">
    <w:abstractNumId w:val="35"/>
  </w:num>
  <w:num w:numId="26">
    <w:abstractNumId w:val="26"/>
  </w:num>
  <w:num w:numId="27">
    <w:abstractNumId w:val="2"/>
  </w:num>
  <w:num w:numId="28">
    <w:abstractNumId w:val="3"/>
  </w:num>
  <w:num w:numId="29">
    <w:abstractNumId w:val="18"/>
  </w:num>
  <w:num w:numId="30">
    <w:abstractNumId w:val="22"/>
  </w:num>
  <w:num w:numId="31">
    <w:abstractNumId w:val="21"/>
  </w:num>
  <w:num w:numId="32">
    <w:abstractNumId w:val="37"/>
  </w:num>
  <w:num w:numId="33">
    <w:abstractNumId w:val="7"/>
  </w:num>
  <w:num w:numId="34">
    <w:abstractNumId w:val="1"/>
  </w:num>
  <w:num w:numId="35">
    <w:abstractNumId w:val="17"/>
  </w:num>
  <w:num w:numId="36">
    <w:abstractNumId w:val="39"/>
  </w:num>
  <w:num w:numId="37">
    <w:abstractNumId w:val="12"/>
  </w:num>
  <w:num w:numId="38">
    <w:abstractNumId w:val="27"/>
  </w:num>
  <w:num w:numId="39">
    <w:abstractNumId w:val="15"/>
  </w:num>
  <w:num w:numId="40">
    <w:abstractNumId w:val="46"/>
  </w:num>
  <w:num w:numId="41">
    <w:abstractNumId w:val="20"/>
  </w:num>
  <w:num w:numId="42">
    <w:abstractNumId w:val="41"/>
  </w:num>
  <w:num w:numId="43">
    <w:abstractNumId w:val="48"/>
  </w:num>
  <w:num w:numId="44">
    <w:abstractNumId w:val="10"/>
  </w:num>
  <w:num w:numId="45">
    <w:abstractNumId w:val="14"/>
  </w:num>
  <w:num w:numId="46">
    <w:abstractNumId w:val="38"/>
  </w:num>
  <w:num w:numId="47">
    <w:abstractNumId w:val="16"/>
  </w:num>
  <w:num w:numId="48">
    <w:abstractNumId w:val="31"/>
  </w:num>
  <w:num w:numId="49">
    <w:abstractNumId w:val="13"/>
  </w:num>
  <w:num w:numId="50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7075"/>
    <w:rsid w:val="00035A0E"/>
    <w:rsid w:val="0003624C"/>
    <w:rsid w:val="00052D89"/>
    <w:rsid w:val="000645CC"/>
    <w:rsid w:val="00074528"/>
    <w:rsid w:val="0008758E"/>
    <w:rsid w:val="000A1ECC"/>
    <w:rsid w:val="000A3B26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36333"/>
    <w:rsid w:val="00162C2B"/>
    <w:rsid w:val="001770B9"/>
    <w:rsid w:val="00191ADF"/>
    <w:rsid w:val="001961B3"/>
    <w:rsid w:val="001D1372"/>
    <w:rsid w:val="001F2952"/>
    <w:rsid w:val="00214C1D"/>
    <w:rsid w:val="00227145"/>
    <w:rsid w:val="00256C38"/>
    <w:rsid w:val="002B39F1"/>
    <w:rsid w:val="002B5BA2"/>
    <w:rsid w:val="002C543B"/>
    <w:rsid w:val="002C5A20"/>
    <w:rsid w:val="002D0847"/>
    <w:rsid w:val="002F6324"/>
    <w:rsid w:val="00303205"/>
    <w:rsid w:val="00336B78"/>
    <w:rsid w:val="0035064C"/>
    <w:rsid w:val="00365D8F"/>
    <w:rsid w:val="003846F9"/>
    <w:rsid w:val="003A06B7"/>
    <w:rsid w:val="003B4A14"/>
    <w:rsid w:val="003D1E77"/>
    <w:rsid w:val="003D5973"/>
    <w:rsid w:val="003D5FC2"/>
    <w:rsid w:val="003E5E6D"/>
    <w:rsid w:val="003F04FB"/>
    <w:rsid w:val="003F6007"/>
    <w:rsid w:val="004001AC"/>
    <w:rsid w:val="004101E4"/>
    <w:rsid w:val="004101FD"/>
    <w:rsid w:val="00411483"/>
    <w:rsid w:val="00426B74"/>
    <w:rsid w:val="0045612A"/>
    <w:rsid w:val="00464365"/>
    <w:rsid w:val="0047221C"/>
    <w:rsid w:val="004838A7"/>
    <w:rsid w:val="00495C8A"/>
    <w:rsid w:val="004C2E68"/>
    <w:rsid w:val="004C57F4"/>
    <w:rsid w:val="004C65DC"/>
    <w:rsid w:val="004C7980"/>
    <w:rsid w:val="004D2DB6"/>
    <w:rsid w:val="004F4BB2"/>
    <w:rsid w:val="004F69D1"/>
    <w:rsid w:val="00504A9F"/>
    <w:rsid w:val="00521903"/>
    <w:rsid w:val="00531FC6"/>
    <w:rsid w:val="005329B0"/>
    <w:rsid w:val="0054515C"/>
    <w:rsid w:val="0056576E"/>
    <w:rsid w:val="005B06FC"/>
    <w:rsid w:val="005B2A93"/>
    <w:rsid w:val="005C6500"/>
    <w:rsid w:val="005D02C3"/>
    <w:rsid w:val="005E15EB"/>
    <w:rsid w:val="005E1A2C"/>
    <w:rsid w:val="00600F8C"/>
    <w:rsid w:val="00602A33"/>
    <w:rsid w:val="006074AA"/>
    <w:rsid w:val="00607DA1"/>
    <w:rsid w:val="00610874"/>
    <w:rsid w:val="00612666"/>
    <w:rsid w:val="00620CA2"/>
    <w:rsid w:val="0062603D"/>
    <w:rsid w:val="00637A1A"/>
    <w:rsid w:val="006430F8"/>
    <w:rsid w:val="0064487F"/>
    <w:rsid w:val="006518A6"/>
    <w:rsid w:val="00652279"/>
    <w:rsid w:val="00654188"/>
    <w:rsid w:val="00654BE0"/>
    <w:rsid w:val="00662654"/>
    <w:rsid w:val="006A2B40"/>
    <w:rsid w:val="006C5919"/>
    <w:rsid w:val="006F4FCF"/>
    <w:rsid w:val="006F6461"/>
    <w:rsid w:val="00703075"/>
    <w:rsid w:val="00703424"/>
    <w:rsid w:val="0071402B"/>
    <w:rsid w:val="00716461"/>
    <w:rsid w:val="007230A6"/>
    <w:rsid w:val="0073070F"/>
    <w:rsid w:val="00733170"/>
    <w:rsid w:val="00754C4F"/>
    <w:rsid w:val="00756D6D"/>
    <w:rsid w:val="00770ABA"/>
    <w:rsid w:val="007773B7"/>
    <w:rsid w:val="007A3620"/>
    <w:rsid w:val="007B6C29"/>
    <w:rsid w:val="007D1B5F"/>
    <w:rsid w:val="007D1C73"/>
    <w:rsid w:val="007D591C"/>
    <w:rsid w:val="007E7126"/>
    <w:rsid w:val="007F4E12"/>
    <w:rsid w:val="007F694D"/>
    <w:rsid w:val="00804924"/>
    <w:rsid w:val="00814870"/>
    <w:rsid w:val="0081601A"/>
    <w:rsid w:val="00843B0E"/>
    <w:rsid w:val="00855DB3"/>
    <w:rsid w:val="00861184"/>
    <w:rsid w:val="00885D17"/>
    <w:rsid w:val="008B1CD4"/>
    <w:rsid w:val="008E1D92"/>
    <w:rsid w:val="00904E10"/>
    <w:rsid w:val="00907E39"/>
    <w:rsid w:val="00922488"/>
    <w:rsid w:val="009673F6"/>
    <w:rsid w:val="00985725"/>
    <w:rsid w:val="00986094"/>
    <w:rsid w:val="0098671F"/>
    <w:rsid w:val="009B4E45"/>
    <w:rsid w:val="009E189C"/>
    <w:rsid w:val="00A075F1"/>
    <w:rsid w:val="00A209FD"/>
    <w:rsid w:val="00A44C2B"/>
    <w:rsid w:val="00A537FA"/>
    <w:rsid w:val="00A72488"/>
    <w:rsid w:val="00A7653E"/>
    <w:rsid w:val="00A8362D"/>
    <w:rsid w:val="00A9026B"/>
    <w:rsid w:val="00AA2936"/>
    <w:rsid w:val="00AB14BC"/>
    <w:rsid w:val="00AD5E39"/>
    <w:rsid w:val="00AD7DB4"/>
    <w:rsid w:val="00AE646A"/>
    <w:rsid w:val="00AE77E6"/>
    <w:rsid w:val="00AF18B1"/>
    <w:rsid w:val="00B01362"/>
    <w:rsid w:val="00B04151"/>
    <w:rsid w:val="00B10101"/>
    <w:rsid w:val="00B22DF5"/>
    <w:rsid w:val="00B360D1"/>
    <w:rsid w:val="00B4668B"/>
    <w:rsid w:val="00B471A0"/>
    <w:rsid w:val="00B53DAE"/>
    <w:rsid w:val="00B9153F"/>
    <w:rsid w:val="00BB2159"/>
    <w:rsid w:val="00BC489A"/>
    <w:rsid w:val="00BD6D27"/>
    <w:rsid w:val="00C036CC"/>
    <w:rsid w:val="00C03943"/>
    <w:rsid w:val="00C04ADE"/>
    <w:rsid w:val="00C11893"/>
    <w:rsid w:val="00C16503"/>
    <w:rsid w:val="00C4576F"/>
    <w:rsid w:val="00C45B0D"/>
    <w:rsid w:val="00C70280"/>
    <w:rsid w:val="00C95843"/>
    <w:rsid w:val="00C95D5F"/>
    <w:rsid w:val="00CA49BB"/>
    <w:rsid w:val="00CB1307"/>
    <w:rsid w:val="00CB7CB5"/>
    <w:rsid w:val="00CD3696"/>
    <w:rsid w:val="00CD382E"/>
    <w:rsid w:val="00CD3A9C"/>
    <w:rsid w:val="00CD65B0"/>
    <w:rsid w:val="00CF395D"/>
    <w:rsid w:val="00CF60CC"/>
    <w:rsid w:val="00D14FCA"/>
    <w:rsid w:val="00D241F8"/>
    <w:rsid w:val="00D33243"/>
    <w:rsid w:val="00D350F2"/>
    <w:rsid w:val="00D3510F"/>
    <w:rsid w:val="00D431D5"/>
    <w:rsid w:val="00D43214"/>
    <w:rsid w:val="00D5247B"/>
    <w:rsid w:val="00D621E1"/>
    <w:rsid w:val="00D625A7"/>
    <w:rsid w:val="00D62E8D"/>
    <w:rsid w:val="00D70BF0"/>
    <w:rsid w:val="00D72049"/>
    <w:rsid w:val="00D84782"/>
    <w:rsid w:val="00D963DD"/>
    <w:rsid w:val="00DA57E0"/>
    <w:rsid w:val="00E05831"/>
    <w:rsid w:val="00E14675"/>
    <w:rsid w:val="00E25961"/>
    <w:rsid w:val="00E25E2C"/>
    <w:rsid w:val="00E3104F"/>
    <w:rsid w:val="00E3244D"/>
    <w:rsid w:val="00E327B4"/>
    <w:rsid w:val="00E640CE"/>
    <w:rsid w:val="00E70BD0"/>
    <w:rsid w:val="00E73FAD"/>
    <w:rsid w:val="00E933F9"/>
    <w:rsid w:val="00EB28FB"/>
    <w:rsid w:val="00EB3567"/>
    <w:rsid w:val="00EC3253"/>
    <w:rsid w:val="00EC4823"/>
    <w:rsid w:val="00ED1886"/>
    <w:rsid w:val="00EE1E0E"/>
    <w:rsid w:val="00EF1709"/>
    <w:rsid w:val="00F02811"/>
    <w:rsid w:val="00F03861"/>
    <w:rsid w:val="00F069C9"/>
    <w:rsid w:val="00F14182"/>
    <w:rsid w:val="00F26321"/>
    <w:rsid w:val="00F36F6A"/>
    <w:rsid w:val="00F45432"/>
    <w:rsid w:val="00F458FA"/>
    <w:rsid w:val="00F63C45"/>
    <w:rsid w:val="00F66DDD"/>
    <w:rsid w:val="00F935F7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045414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styleId="Hypertextovodkaz">
    <w:name w:val="Hyperlink"/>
    <w:uiPriority w:val="99"/>
    <w:unhideWhenUsed/>
    <w:rsid w:val="001961B3"/>
    <w:rPr>
      <w:color w:val="0563C1"/>
      <w:u w:val="single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256C38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Odstavecseseznamem1">
    <w:name w:val="Odstavec se seznamem1"/>
    <w:basedOn w:val="Normln"/>
    <w:rsid w:val="002B5BA2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90441-09A2-466E-942B-70B42F6D9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433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5</cp:revision>
  <dcterms:created xsi:type="dcterms:W3CDTF">2020-07-14T09:58:00Z</dcterms:created>
  <dcterms:modified xsi:type="dcterms:W3CDTF">2020-07-14T11:05:00Z</dcterms:modified>
</cp:coreProperties>
</file>